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left="0"/>
        <w:jc w:val="right"/>
        <w:spacing w:line="216" w:lineRule="auto"/>
        <w:rPr>
          <w:sz w:val="26"/>
          <w:szCs w:val="26"/>
        </w:rPr>
      </w:pPr>
      <w:r>
        <w:rPr>
          <w:sz w:val="26"/>
          <w:szCs w:val="26"/>
        </w:rPr>
        <w:t xml:space="preserve">Приложение 2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8"/>
        <w:ind w:left="0"/>
        <w:jc w:val="center"/>
        <w:spacing w:line="216" w:lineRule="auto"/>
        <w:rPr>
          <w:sz w:val="26"/>
          <w:szCs w:val="26"/>
        </w:rPr>
      </w:pPr>
      <w:r>
        <w:rPr>
          <w:sz w:val="26"/>
          <w:szCs w:val="26"/>
        </w:rPr>
        <w:t xml:space="preserve">Показатели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8"/>
        <w:ind w:left="0"/>
        <w:jc w:val="center"/>
        <w:spacing w:line="216" w:lineRule="auto"/>
        <w:rPr>
          <w:sz w:val="26"/>
          <w:szCs w:val="26"/>
        </w:rPr>
      </w:pP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рогноза</w:t>
      </w:r>
      <w:r>
        <w:rPr>
          <w:sz w:val="26"/>
          <w:szCs w:val="26"/>
        </w:rPr>
        <w:t xml:space="preserve"> развития промышленного производства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</w:pPr>
      <w:r>
        <w:rPr>
          <w:b/>
          <w:sz w:val="26"/>
        </w:rPr>
        <w:t xml:space="preserve">Чернянского муниципального округа</w:t>
      </w:r>
      <w:r/>
    </w:p>
    <w:p>
      <w:pPr>
        <w:pStyle w:val="856"/>
        <w:jc w:val="center"/>
        <w:spacing w:line="216" w:lineRule="auto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20</w:t>
      </w:r>
      <w:r>
        <w:rPr>
          <w:b/>
          <w:bCs/>
          <w:sz w:val="26"/>
          <w:szCs w:val="26"/>
        </w:rPr>
        <w:t xml:space="preserve">2</w:t>
      </w:r>
      <w:r>
        <w:rPr>
          <w:b/>
          <w:bCs/>
          <w:sz w:val="26"/>
          <w:szCs w:val="26"/>
        </w:rPr>
        <w:t xml:space="preserve">6–20</w:t>
      </w:r>
      <w:r>
        <w:rPr>
          <w:b/>
          <w:bCs/>
          <w:sz w:val="26"/>
          <w:szCs w:val="26"/>
        </w:rPr>
        <w:t xml:space="preserve">2</w:t>
      </w:r>
      <w:r>
        <w:rPr>
          <w:b/>
          <w:bCs/>
          <w:sz w:val="26"/>
          <w:szCs w:val="26"/>
        </w:rPr>
        <w:t xml:space="preserve">8 годы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56"/>
        <w:jc w:val="center"/>
        <w:spacing w:line="216" w:lineRule="auto"/>
        <w:widowControl w:val="off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tbl>
      <w:tblPr>
        <w:tblW w:w="1531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85"/>
        <w:gridCol w:w="1277"/>
        <w:gridCol w:w="1276"/>
        <w:gridCol w:w="1134"/>
        <w:gridCol w:w="1275"/>
        <w:gridCol w:w="1276"/>
        <w:gridCol w:w="1418"/>
        <w:gridCol w:w="3969"/>
      </w:tblGrid>
      <w:tr>
        <w:trPr>
          <w:trHeight w:val="1242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Показатели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  <w:p>
            <w:pPr>
              <w:pStyle w:val="864"/>
              <w:jc w:val="center"/>
              <w:keepNext w:val="0"/>
              <w:spacing w:line="216" w:lineRule="auto"/>
              <w:rPr>
                <w:bCs w:val="0"/>
              </w:rPr>
              <w:outlineLvl w:val="9"/>
            </w:pPr>
            <w:r>
              <w:rPr>
                <w:bCs w:val="0"/>
              </w:rPr>
            </w:r>
            <w:r>
              <w:rPr>
                <w:bCs w:val="0"/>
              </w:rPr>
            </w:r>
            <w:r>
              <w:rPr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 xml:space="preserve">г</w:t>
            </w:r>
            <w:r>
              <w:rPr>
                <w:b/>
                <w:bCs/>
                <w:sz w:val="24"/>
                <w:szCs w:val="24"/>
              </w:rPr>
              <w:t xml:space="preserve">од</w:t>
            </w:r>
            <w:r>
              <w:rPr>
                <w:b/>
                <w:bCs/>
                <w:sz w:val="24"/>
                <w:szCs w:val="24"/>
              </w:rPr>
              <w:t xml:space="preserve"> отчет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4 год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56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отчет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</w:t>
            </w:r>
            <w:r>
              <w:rPr>
                <w:b/>
                <w:bCs/>
                <w:sz w:val="24"/>
                <w:szCs w:val="24"/>
              </w:rPr>
              <w:t xml:space="preserve">5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56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оценка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ind w:left="-108" w:right="-108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6 год</w:t>
            </w:r>
            <w:r>
              <w:rPr>
                <w:b/>
                <w:bCs/>
                <w:sz w:val="24"/>
                <w:szCs w:val="24"/>
              </w:rPr>
              <w:t xml:space="preserve"> прогноз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ind w:left="-108" w:right="-108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</w:rPr>
              <w:t xml:space="preserve">год</w:t>
            </w:r>
            <w:r>
              <w:rPr>
                <w:b/>
                <w:bCs/>
                <w:sz w:val="24"/>
                <w:szCs w:val="24"/>
              </w:rPr>
              <w:t xml:space="preserve"> прогноз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ind w:left="-108" w:right="-108"/>
              <w:jc w:val="center"/>
              <w:spacing w:line="216" w:lineRule="auto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8 год</w:t>
            </w:r>
            <w:r>
              <w:rPr>
                <w:b/>
                <w:bCs/>
                <w:sz w:val="24"/>
                <w:szCs w:val="24"/>
              </w:rPr>
              <w:t xml:space="preserve"> прогноз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left="-108" w:right="-74"/>
              <w:jc w:val="center"/>
              <w:spacing w:line="216" w:lineRule="auto"/>
              <w:rPr>
                <w:bCs w:val="0"/>
              </w:rPr>
            </w:pPr>
            <w:r>
              <w:rPr>
                <w:bCs w:val="0"/>
              </w:rPr>
              <w:t xml:space="preserve">Примечание</w:t>
            </w:r>
            <w:r>
              <w:rPr>
                <w:bCs w:val="0"/>
              </w:rPr>
            </w:r>
            <w:r>
              <w:rPr>
                <w:bCs w:val="0"/>
              </w:rPr>
            </w:r>
          </w:p>
          <w:p>
            <w:pPr>
              <w:pStyle w:val="869"/>
              <w:ind w:left="-108" w:right="-74"/>
              <w:jc w:val="center"/>
              <w:spacing w:line="216" w:lineRule="auto"/>
              <w:rPr>
                <w:b w:val="0"/>
                <w:bCs w:val="0"/>
              </w:rPr>
            </w:pPr>
            <w:r>
              <w:rPr>
                <w:bCs w:val="0"/>
              </w:rPr>
              <w:t xml:space="preserve">(указываются </w:t>
            </w:r>
            <w:r>
              <w:rPr>
                <w:bCs w:val="0"/>
              </w:rPr>
              <w:t xml:space="preserve">основные предприятия по видам деятельности</w:t>
            </w:r>
            <w:r>
              <w:t xml:space="preserve">)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rPr>
          <w:trHeight w:val="407"/>
        </w:trPr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10" w:type="dxa"/>
            <w:vAlign w:val="center"/>
            <w:textDirection w:val="lrTb"/>
            <w:noWrap w:val="false"/>
          </w:tcPr>
          <w:p>
            <w:pPr>
              <w:pStyle w:val="869"/>
              <w:ind w:right="-249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(млн рублей)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</w:tr>
      <w:tr>
        <w:trPr>
          <w:trHeight w:val="4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Промышленное производство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</w:rPr>
              <w:t xml:space="preserve">11 692,0</w:t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</w:rPr>
              <w:t xml:space="preserve">12 599,6</w:t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  <w:t xml:space="preserve">2 761,2</w:t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nos" w:hAnsi="Tinos" w:eastAsia="Tinos" w:cs="Tinos"/>
                <w:b/>
                <w:sz w:val="24"/>
                <w:szCs w:val="24"/>
                <w:highlight w:val="none"/>
              </w:rPr>
              <w:t xml:space="preserve">3 570,2</w:t>
            </w:r>
            <w:r>
              <w:rPr>
                <w:rFonts w:ascii="Tinos" w:hAnsi="Tinos" w:cs="Tinos"/>
                <w:b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nos" w:hAnsi="Tinos" w:cs="Tinos"/>
                <w:b/>
                <w:sz w:val="24"/>
                <w:szCs w:val="24"/>
                <w:highlight w:val="none"/>
              </w:rPr>
              <w:t xml:space="preserve">4 325,6</w:t>
            </w:r>
            <w:r>
              <w:rPr>
                <w:rFonts w:ascii="Tinos" w:hAnsi="Tinos" w:cs="Tinos"/>
                <w:b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15 005,6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right="-249"/>
              <w:rPr>
                <w:rFonts w:ascii="Tinos" w:hAnsi="Tinos" w:cs="Tinos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</w:p>
        </w:tc>
      </w:tr>
      <w:tr>
        <w:trPr>
          <w:trHeight w:val="4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Добыча полезных ископаемых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78"/>
              <w:ind w:left="-108" w:right="-108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  <w:t xml:space="preserve">Добыча металлических руд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74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yellow"/>
              </w:rPr>
            </w:r>
          </w:p>
        </w:tc>
      </w:tr>
      <w:tr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  <w:t xml:space="preserve">Добыча прочих полезных ископаемых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78"/>
              <w:ind w:left="-108" w:right="-108"/>
              <w:jc w:val="center"/>
              <w:rPr>
                <w:rFonts w:ascii="Tinos" w:hAnsi="Tinos" w:cs="Tinos"/>
                <w:b w:val="0"/>
                <w:bCs w:val="0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</w:rPr>
            </w:r>
          </w:p>
        </w:tc>
      </w:tr>
      <w:tr>
        <w:trPr>
          <w:trHeight w:val="4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Обрабатывающие производства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11 549,3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12 459,7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12 611,8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13 412,5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14 157,3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14 824,3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right="-249"/>
              <w:rPr>
                <w:rFonts w:ascii="Tinos" w:hAnsi="Tinos" w:cs="Tinos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</w:p>
        </w:tc>
      </w:tr>
      <w:tr>
        <w:trPr>
          <w:trHeight w:val="3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роизводство пищевых продуктов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10 827,4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11 774,8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11 910,4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12 703,2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13 440,1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14 101,9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ООО «РУСАГРО-БЕЛГОРОД» - филиал «Чернянский»</w:t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, ООО «МЭЗ Юг Руси», ЗАО «Краснояружская зерновая компания», </w:t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досчет малые предприятия </w:t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ООО «Масло Потаповское», </w:t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ООО «Пищевой комбинат «Чернянский», СССПоК «Чернянское подворье», ИП Фартучный А.М., СССПоК «Мясные просторы»</w:t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  <w:t xml:space="preserve">Производство напитков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74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</w:rPr>
            </w:r>
          </w:p>
        </w:tc>
      </w:tr>
      <w:tr>
        <w:trPr>
          <w:trHeight w:val="4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текстильных изделий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jc w:val="center"/>
              <w:rPr>
                <w:rFonts w:ascii="Tinos" w:hAnsi="Tinos" w:cs="Tinos"/>
                <w:i/>
                <w:iCs/>
                <w:sz w:val="24"/>
                <w:szCs w:val="24"/>
              </w:rPr>
            </w:pPr>
            <w:r>
              <w:rPr>
                <w:rFonts w:ascii="Tinos" w:hAnsi="Tinos" w:eastAsia="Tinos" w:cs="Tinos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i/>
                <w:iCs/>
                <w:sz w:val="24"/>
                <w:szCs w:val="24"/>
              </w:rPr>
            </w:r>
          </w:p>
        </w:tc>
      </w:tr>
      <w:tr>
        <w:trPr>
          <w:trHeight w:val="3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одежды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5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кожи и изделий из кожи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бумаги и бумажных изделий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Деятельность полиграфическая и копирование носителей информации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кокса и нефтепродуктов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химических веществ и химических продуктов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лекарственных средств и материалов, применяемых в медицинских целях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nos" w:hAnsi="Tinos" w:cs="Tinos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6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spacing w:line="216" w:lineRule="auto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резиновых и пластмассовых изделий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419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340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350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bCs/>
                <w:sz w:val="24"/>
                <w:szCs w:val="24"/>
                <w:highlight w:val="white"/>
              </w:rPr>
              <w:t xml:space="preserve"> 355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bCs/>
                <w:sz w:val="24"/>
                <w:szCs w:val="24"/>
                <w:highlight w:val="white"/>
              </w:rPr>
              <w:t xml:space="preserve"> 359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bCs/>
                <w:sz w:val="24"/>
                <w:szCs w:val="24"/>
                <w:highlight w:val="none"/>
              </w:rPr>
              <w:t xml:space="preserve">362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ООО «Торговый Дом» АРГЕСС»</w:t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rPr>
                <w:rFonts w:ascii="Tinos" w:hAnsi="Tinos" w:cs="Tinos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прочей неметаллической минеральной продукции</w:t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91,1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110,2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111,4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112,3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113,2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none"/>
              </w:rPr>
              <w:t xml:space="preserve">114,4</w:t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78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ООО «Всемирстрой», </w:t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</w:rPr>
              <w:t xml:space="preserve">ООО ПП «Чернянский кирпичный завод»</w:t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2"/>
                <w:szCs w:val="22"/>
              </w:rPr>
            </w:r>
          </w:p>
        </w:tc>
      </w:tr>
      <w:tr>
        <w:trPr>
          <w:trHeight w:val="4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rPr>
                <w:rFonts w:ascii="Tinos" w:hAnsi="Tinos" w:cs="Tinos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металлургическое</w:t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74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7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rPr>
                <w:rFonts w:ascii="Tinos" w:hAnsi="Tinos" w:cs="Tinos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готовых металлических изделий, кроме машин и оборудования</w:t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74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yellow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компьютеров, электронных и оптических изделий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nos" w:hAnsi="Tinos" w:cs="Tinos"/>
                <w:i/>
                <w:iCs/>
                <w:sz w:val="24"/>
                <w:szCs w:val="24"/>
              </w:rPr>
            </w:pPr>
            <w:r>
              <w:rPr>
                <w:rFonts w:ascii="Tinos" w:hAnsi="Tinos" w:eastAsia="Tinos" w:cs="Tinos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i/>
                <w:iCs/>
                <w:sz w:val="24"/>
                <w:szCs w:val="24"/>
              </w:rPr>
            </w:r>
          </w:p>
        </w:tc>
      </w:tr>
      <w:tr>
        <w:trPr>
          <w:trHeight w:val="6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электрического оборудования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</w:rPr>
            </w:r>
          </w:p>
        </w:tc>
      </w:tr>
      <w:tr>
        <w:trPr>
          <w:trHeight w:val="6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Производство машин и оборудования, не включенных в другие группировки</w:t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cs="Tinos"/>
                <w:bCs/>
                <w:sz w:val="24"/>
                <w:szCs w:val="24"/>
                <w:highlight w:val="none"/>
              </w:rPr>
              <w:t xml:space="preserve">9,6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cs="Tinos"/>
                <w:bCs/>
                <w:sz w:val="24"/>
                <w:szCs w:val="24"/>
                <w:highlight w:val="none"/>
              </w:rPr>
              <w:t xml:space="preserve">10,0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11,0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12,0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13,0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13</w:t>
            </w:r>
            <w:bookmarkStart w:id="0" w:name="undefined"/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</w:r>
            <w:bookmarkEnd w:id="0"/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ООО «Альфа Групп»</w:t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</w:p>
        </w:tc>
      </w:tr>
      <w:tr>
        <w:trPr>
          <w:trHeight w:val="6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автотранспортных средств, прицепов и полупри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ц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епов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7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прочих транспортных средств и оборудования 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мебели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ind w:left="34" w:right="-109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</w:rPr>
              <w:t xml:space="preserve">Производство прочих готовых изделий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yellow"/>
              </w:rPr>
            </w:r>
          </w:p>
        </w:tc>
      </w:tr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64"/>
              <w:keepNext w:val="0"/>
              <w:rPr>
                <w:rFonts w:ascii="Tinos" w:hAnsi="Tinos" w:cs="Tinos"/>
                <w:b w:val="0"/>
                <w:bCs w:val="0"/>
                <w:sz w:val="24"/>
                <w:szCs w:val="24"/>
                <w:highlight w:val="white"/>
              </w:rPr>
              <w:outlineLvl w:val="9"/>
            </w:pPr>
            <w:r>
              <w:rPr>
                <w:rFonts w:ascii="Tinos" w:hAnsi="Tinos" w:eastAsia="Tinos" w:cs="Tinos"/>
                <w:b w:val="0"/>
                <w:color w:val="000000"/>
                <w:sz w:val="24"/>
                <w:szCs w:val="24"/>
                <w:highlight w:val="white"/>
              </w:rPr>
              <w:t xml:space="preserve">Ремонт и монтаж машин и оборудования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none"/>
              </w:rPr>
              <w:t xml:space="preserve">202,2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224,7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229,0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  <w:t xml:space="preserve">30,0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32,0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nos" w:hAnsi="Tinos" w:cs="Tinos"/>
                <w:bCs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nos" w:hAnsi="Tinos" w:eastAsia="Tinos" w:cs="Tinos"/>
                <w:bCs/>
                <w:sz w:val="24"/>
                <w:szCs w:val="24"/>
                <w:highlight w:val="white"/>
              </w:rPr>
              <w:t xml:space="preserve">33,0</w:t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 w:val="0"/>
                <w:bCs w:val="0"/>
                <w:i/>
                <w:iCs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b w:val="0"/>
                <w:bCs w:val="0"/>
                <w:i/>
                <w:iCs/>
                <w:sz w:val="24"/>
                <w:szCs w:val="24"/>
                <w:highlight w:val="white"/>
              </w:rPr>
              <w:t xml:space="preserve">ООО «Альфа Групп»</w:t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b w:val="0"/>
                <w:bCs w:val="0"/>
                <w:i/>
                <w:iCs/>
                <w:sz w:val="22"/>
                <w:szCs w:val="22"/>
                <w:highlight w:val="white"/>
              </w:rPr>
            </w:r>
          </w:p>
        </w:tc>
      </w:tr>
      <w:tr>
        <w:trPr>
          <w:trHeight w:val="96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</w:rPr>
              <w:t xml:space="preserve">Обеспечение электрической энергией, газом и паром; кондиционирование воздуха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102,1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 xml:space="preserve">95,8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 xml:space="preserve">101,4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107,6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115,1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/>
                <w:bCs/>
                <w:sz w:val="24"/>
                <w:szCs w:val="24"/>
              </w:rPr>
              <w:t xml:space="preserve">124,6</w:t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АО «Теплоком»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</w:p>
        </w:tc>
      </w:tr>
      <w:tr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</w:rPr>
              <w:t xml:space="preserve">Водосна</w:t>
            </w: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</w:rPr>
              <w:t xml:space="preserve">бже</w:t>
            </w: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</w:rPr>
              <w:t xml:space="preserve">ние; водоотведение, организация сбора и утили</w:t>
            </w: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</w:rPr>
              <w:t xml:space="preserve">ции отходов, деятельность по ликвидации загрязнений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40,6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44,1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 xml:space="preserve">48,0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 xml:space="preserve">50,1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sz w:val="24"/>
                <w:szCs w:val="24"/>
              </w:rPr>
              <w:t xml:space="preserve">53,2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4"/>
                <w:szCs w:val="24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 xml:space="preserve">56,7</w:t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  <w:r>
              <w:rPr>
                <w:rFonts w:ascii="Tinos" w:hAnsi="Tinos" w:cs="Tinos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МАУ «Служба благоустройства»,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  <w:p>
            <w:pPr>
              <w:pStyle w:val="869"/>
              <w:ind w:left="-108" w:right="-108"/>
              <w:jc w:val="center"/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  <w:highlight w:val="none"/>
              </w:rPr>
              <w:t xml:space="preserve">МАУ «Экосервис»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</w:p>
        </w:tc>
      </w:tr>
    </w:tbl>
    <w:p>
      <w:pPr>
        <w:pStyle w:val="856"/>
        <w:ind w:left="720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</w:t>
      </w:r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56"/>
        <w:ind w:left="720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56"/>
        <w:ind w:left="720"/>
        <w:widowControl w:val="o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tbl>
      <w:tblPr>
        <w:tblW w:w="1556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336"/>
        <w:gridCol w:w="2769"/>
        <w:gridCol w:w="54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36" w:type="dxa"/>
            <w:vAlign w:val="top"/>
            <w:textDirection w:val="lrTb"/>
            <w:noWrap w:val="false"/>
          </w:tcPr>
          <w:p>
            <w:pPr>
              <w:pStyle w:val="856"/>
              <w:jc w:val="left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Глава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Чернянского муниципального округа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jc w:val="left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Белгородской области 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jc w:val="center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6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856"/>
              <w:jc w:val="center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856"/>
              <w:jc w:val="center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856"/>
              <w:jc w:val="center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60" w:type="dxa"/>
            <w:vAlign w:val="top"/>
            <w:textDirection w:val="lrTb"/>
            <w:noWrap w:val="false"/>
          </w:tcPr>
          <w:p>
            <w:pPr>
              <w:pStyle w:val="856"/>
              <w:ind w:left="720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856"/>
              <w:jc w:val="left"/>
              <w:widowControl w:val="o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С.А.Морозов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</w:tr>
    </w:tbl>
    <w:p>
      <w:pPr>
        <w:pStyle w:val="856"/>
        <w:ind w:left="720"/>
        <w:widowControl w:val="off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</w:r>
      <w:r>
        <w:rPr>
          <w:b/>
          <w:bCs/>
          <w:i/>
          <w:iCs/>
          <w:sz w:val="26"/>
          <w:szCs w:val="26"/>
        </w:rPr>
      </w:r>
      <w:r>
        <w:rPr>
          <w:b/>
          <w:bCs/>
          <w:i/>
          <w:iCs/>
          <w:sz w:val="26"/>
          <w:szCs w:val="26"/>
        </w:rPr>
      </w:r>
    </w:p>
    <w:sectPr>
      <w:headerReference w:type="default" r:id="rId9"/>
      <w:footnotePr/>
      <w:endnotePr/>
      <w:type w:val="nextPage"/>
      <w:pgSz w:w="16840" w:h="11907" w:orient="landscape"/>
      <w:pgMar w:top="851" w:right="567" w:bottom="567" w:left="85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rStyle w:val="867"/>
      </w:rPr>
      <w:framePr w:vAnchor="text" w:hAnchor="margin" w:xAlign="center" w:y="1"/>
    </w:pPr>
    <w:r>
      <w:rPr>
        <w:rStyle w:val="867"/>
      </w:rPr>
      <w:fldChar w:fldCharType="begin"/>
    </w:r>
    <w:r>
      <w:rPr>
        <w:rStyle w:val="867"/>
      </w:rPr>
      <w:instrText xml:space="preserve">PAGE  </w:instrText>
    </w:r>
    <w:r>
      <w:rPr>
        <w:rStyle w:val="867"/>
      </w:rPr>
      <w:fldChar w:fldCharType="separate"/>
    </w:r>
    <w:r>
      <w:rPr>
        <w:rStyle w:val="867"/>
      </w:rPr>
      <w:t xml:space="preserve">2</w:t>
    </w:r>
    <w:r>
      <w:rPr>
        <w:rStyle w:val="867"/>
      </w:rPr>
      <w:fldChar w:fldCharType="end"/>
    </w:r>
    <w:r>
      <w:rPr>
        <w:rStyle w:val="867"/>
      </w:rPr>
    </w:r>
    <w:r>
      <w:rPr>
        <w:rStyle w:val="867"/>
      </w:rPr>
    </w:r>
  </w:p>
  <w:p>
    <w:pPr>
      <w:pStyle w:val="8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394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14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3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5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74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9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1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34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54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rPr>
      <w:lang w:val="ru-RU" w:eastAsia="ru-RU" w:bidi="ar-SA"/>
    </w:rPr>
  </w:style>
  <w:style w:type="paragraph" w:styleId="857">
    <w:name w:val="Заголовок 1"/>
    <w:basedOn w:val="856"/>
    <w:next w:val="856"/>
    <w:link w:val="856"/>
    <w:pPr>
      <w:keepNext/>
      <w:widowControl w:val="off"/>
      <w:outlineLvl w:val="0"/>
    </w:pPr>
    <w:rPr>
      <w:sz w:val="24"/>
      <w:szCs w:val="24"/>
    </w:rPr>
  </w:style>
  <w:style w:type="paragraph" w:styleId="858">
    <w:name w:val="Заголовок 2"/>
    <w:basedOn w:val="856"/>
    <w:next w:val="856"/>
    <w:link w:val="856"/>
    <w:pPr>
      <w:ind w:left="2160"/>
      <w:keepNext/>
      <w:widowControl w:val="off"/>
      <w:outlineLvl w:val="1"/>
    </w:pPr>
    <w:rPr>
      <w:b/>
      <w:bCs/>
      <w:sz w:val="24"/>
      <w:szCs w:val="24"/>
    </w:rPr>
  </w:style>
  <w:style w:type="paragraph" w:styleId="859">
    <w:name w:val="Заголовок 3"/>
    <w:basedOn w:val="856"/>
    <w:next w:val="856"/>
    <w:link w:val="856"/>
    <w:pPr>
      <w:keepNext/>
      <w:widowControl w:val="off"/>
      <w:outlineLvl w:val="2"/>
    </w:pPr>
    <w:rPr>
      <w:color w:val="000000"/>
      <w:sz w:val="24"/>
      <w:szCs w:val="24"/>
    </w:rPr>
  </w:style>
  <w:style w:type="character" w:styleId="860">
    <w:name w:val="Основной шрифт абзаца"/>
    <w:next w:val="860"/>
    <w:link w:val="856"/>
    <w:semiHidden/>
  </w:style>
  <w:style w:type="table" w:styleId="861">
    <w:name w:val="Обычная таблица"/>
    <w:next w:val="861"/>
    <w:link w:val="856"/>
    <w:semiHidden/>
    <w:tblPr/>
  </w:style>
  <w:style w:type="numbering" w:styleId="862">
    <w:name w:val="Нет списка"/>
    <w:next w:val="862"/>
    <w:link w:val="856"/>
    <w:semiHidden/>
  </w:style>
  <w:style w:type="paragraph" w:styleId="863">
    <w:name w:val="заголовок 1"/>
    <w:basedOn w:val="856"/>
    <w:next w:val="856"/>
    <w:link w:val="856"/>
    <w:pPr>
      <w:jc w:val="center"/>
      <w:keepNext/>
      <w:widowControl w:val="off"/>
      <w:outlineLvl w:val="0"/>
    </w:pPr>
    <w:rPr>
      <w:b/>
      <w:bCs/>
      <w:sz w:val="24"/>
      <w:szCs w:val="24"/>
    </w:rPr>
  </w:style>
  <w:style w:type="paragraph" w:styleId="864">
    <w:name w:val="заголовок 2"/>
    <w:basedOn w:val="856"/>
    <w:next w:val="856"/>
    <w:link w:val="856"/>
    <w:pPr>
      <w:keepNext/>
      <w:widowControl w:val="off"/>
      <w:outlineLvl w:val="1"/>
    </w:pPr>
    <w:rPr>
      <w:b/>
      <w:bCs/>
      <w:sz w:val="24"/>
      <w:szCs w:val="24"/>
    </w:rPr>
  </w:style>
  <w:style w:type="character" w:styleId="865">
    <w:name w:val="Основной шрифт"/>
    <w:next w:val="865"/>
    <w:link w:val="856"/>
  </w:style>
  <w:style w:type="paragraph" w:styleId="866">
    <w:name w:val="Верхний колонтитул"/>
    <w:basedOn w:val="856"/>
    <w:next w:val="866"/>
    <w:link w:val="856"/>
    <w:pPr>
      <w:tabs>
        <w:tab w:val="center" w:pos="4153" w:leader="none"/>
        <w:tab w:val="right" w:pos="8306" w:leader="none"/>
      </w:tabs>
    </w:pPr>
  </w:style>
  <w:style w:type="character" w:styleId="867">
    <w:name w:val="номер страницы"/>
    <w:basedOn w:val="865"/>
    <w:next w:val="867"/>
    <w:link w:val="856"/>
  </w:style>
  <w:style w:type="paragraph" w:styleId="868">
    <w:name w:val="Основной текст"/>
    <w:basedOn w:val="856"/>
    <w:next w:val="868"/>
    <w:link w:val="856"/>
    <w:rPr>
      <w:b/>
      <w:bCs/>
      <w:sz w:val="22"/>
      <w:szCs w:val="22"/>
    </w:rPr>
  </w:style>
  <w:style w:type="paragraph" w:styleId="869">
    <w:name w:val="Основной текст 2"/>
    <w:basedOn w:val="856"/>
    <w:next w:val="869"/>
    <w:link w:val="856"/>
    <w:pPr>
      <w:ind w:right="-250"/>
      <w:widowControl w:val="off"/>
    </w:pPr>
    <w:rPr>
      <w:b/>
      <w:bCs/>
      <w:sz w:val="24"/>
      <w:szCs w:val="24"/>
    </w:rPr>
  </w:style>
  <w:style w:type="table" w:styleId="870">
    <w:name w:val="Сетка таблицы"/>
    <w:basedOn w:val="861"/>
    <w:next w:val="870"/>
    <w:link w:val="856"/>
    <w:rPr>
      <w:lang w:bidi="ar-SA"/>
    </w:rPr>
    <w:tblPr/>
  </w:style>
  <w:style w:type="paragraph" w:styleId="871">
    <w:name w:val="ConsPlusNonformat"/>
    <w:next w:val="871"/>
    <w:link w:val="856"/>
    <w:pPr>
      <w:widowControl w:val="off"/>
    </w:pPr>
    <w:rPr>
      <w:rFonts w:ascii="Courier New" w:hAnsi="Courier New"/>
      <w:lang w:val="ru-RU" w:eastAsia="ru-RU" w:bidi="ar-SA"/>
    </w:rPr>
  </w:style>
  <w:style w:type="paragraph" w:styleId="872">
    <w:name w:val="Нижний колонтитул"/>
    <w:basedOn w:val="856"/>
    <w:next w:val="872"/>
    <w:link w:val="856"/>
    <w:pPr>
      <w:tabs>
        <w:tab w:val="center" w:pos="4677" w:leader="none"/>
        <w:tab w:val="right" w:pos="9355" w:leader="none"/>
      </w:tabs>
    </w:pPr>
  </w:style>
  <w:style w:type="paragraph" w:styleId="873">
    <w:name w:val="Текст выноски"/>
    <w:basedOn w:val="856"/>
    <w:next w:val="873"/>
    <w:link w:val="874"/>
    <w:rPr>
      <w:rFonts w:ascii="Tahoma" w:hAnsi="Tahoma"/>
      <w:sz w:val="16"/>
      <w:szCs w:val="16"/>
    </w:rPr>
  </w:style>
  <w:style w:type="character" w:styleId="874">
    <w:name w:val="Текст выноски Знак"/>
    <w:next w:val="874"/>
    <w:link w:val="873"/>
    <w:rPr>
      <w:rFonts w:ascii="Tahoma" w:hAnsi="Tahoma"/>
      <w:sz w:val="16"/>
      <w:szCs w:val="16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  <w:style w:type="paragraph" w:styleId="878" w:customStyle="1">
    <w:name w:val="Body Text 2"/>
    <w:pPr>
      <w:contextualSpacing w:val="0"/>
      <w:ind w:left="0" w:right="-25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2025-11-11T11:33:42Z</dcterms:modified>
</cp:coreProperties>
</file>